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1DF" w:rsidRPr="00AC71DF" w:rsidRDefault="00AC71DF" w:rsidP="00AC71DF">
      <w:pPr>
        <w:rPr>
          <w:color w:val="2E74B5" w:themeColor="accent1" w:themeShade="BF"/>
          <w:sz w:val="32"/>
          <w:szCs w:val="32"/>
        </w:rPr>
      </w:pPr>
      <w:r w:rsidRPr="00AC71DF">
        <w:rPr>
          <w:color w:val="2E74B5" w:themeColor="accent1" w:themeShade="BF"/>
          <w:sz w:val="32"/>
          <w:szCs w:val="32"/>
        </w:rPr>
        <w:t>Anexo 12 – Balanço Orçamentário – Prefeitura</w:t>
      </w:r>
    </w:p>
    <w:p w:rsidR="00AC71DF" w:rsidRDefault="00AC71DF" w:rsidP="00AC71DF">
      <w:r w:rsidRPr="00D904EE">
        <w:rPr>
          <w:b/>
        </w:rPr>
        <w:t>Contexto operacional</w:t>
      </w:r>
      <w:r>
        <w:t xml:space="preserve"> - Os dados apresentados compreendem os órgãos da Administração Direta do Município, no que tange à previsão e execução das receitas e despesas orçamentárias, cujo detalhamento atende as especificações da Portaria Interministerial STN/SOF nº 163/2001 e respectivas alterações, de igual forma, foram observados os detalhamentos estabelecidos pelo TCE. </w:t>
      </w:r>
    </w:p>
    <w:p w:rsidR="00AC71DF" w:rsidRDefault="00AC71DF" w:rsidP="00AC71DF">
      <w:r>
        <w:t xml:space="preserve"> </w:t>
      </w:r>
      <w:r w:rsidRPr="00D904EE">
        <w:rPr>
          <w:b/>
        </w:rPr>
        <w:t>Critério de Apropriação</w:t>
      </w:r>
      <w:r>
        <w:t>: Foram consideradas como realizadas as despesas legalmente empenhadas e as receitas efetivamente arrecadadas no exercício, realizando deduções nos casos cabíveis em consonância aos termos do art. 35 da Lei Federal nº 4320/64. Os créditos adicionais foram em conformidade à origem (fonte) do recurso respeitando a vinculação.</w:t>
      </w:r>
    </w:p>
    <w:p w:rsidR="00AC71DF" w:rsidRDefault="00AC71DF" w:rsidP="00AC71DF">
      <w:r w:rsidRPr="00D904EE">
        <w:rPr>
          <w:b/>
        </w:rPr>
        <w:t xml:space="preserve">Operações </w:t>
      </w:r>
      <w:proofErr w:type="spellStart"/>
      <w:r w:rsidRPr="00D904EE">
        <w:rPr>
          <w:b/>
        </w:rPr>
        <w:t>Intraorçamentárias</w:t>
      </w:r>
      <w:proofErr w:type="spellEnd"/>
      <w:r>
        <w:t xml:space="preserve">: de acordo com o MCASP, as operações realizadas entre órgãos do próprio município, a exemplo do RPPS representam operações </w:t>
      </w:r>
      <w:proofErr w:type="spellStart"/>
      <w:r>
        <w:t>intra-orçamentárias</w:t>
      </w:r>
      <w:proofErr w:type="spellEnd"/>
      <w:r>
        <w:t xml:space="preserve">. </w:t>
      </w:r>
      <w:r w:rsidRPr="00D904EE">
        <w:rPr>
          <w:b/>
        </w:rPr>
        <w:t>Repasses concedidos</w:t>
      </w:r>
      <w:r>
        <w:t xml:space="preserve"> – de acordo com a portaria STN nº 39/2001, os repasses financeiros pelo Poder Executivo ao Poder Legislativo foram processados por meio de documentos próprios sem a emissão de empenho, sendo que os registros contábeis das transferências financeiras concedidas e recebidas foram efetuados em contas contábeis específicas de resultado, que representam as variações passivas e ativas financeiras </w:t>
      </w:r>
      <w:proofErr w:type="spellStart"/>
      <w:r>
        <w:t>correspondentes.</w:t>
      </w:r>
      <w:r w:rsidRPr="00D904EE">
        <w:rPr>
          <w:b/>
        </w:rPr>
        <w:t>Utilização</w:t>
      </w:r>
      <w:proofErr w:type="spellEnd"/>
      <w:r w:rsidRPr="00D904EE">
        <w:rPr>
          <w:b/>
        </w:rPr>
        <w:t xml:space="preserve"> de Superávit financeiro:</w:t>
      </w:r>
      <w:r>
        <w:t xml:space="preserve"> Está demonstrado o valor do Superávit Financeiro apurado no exercício anterior o mesmo foi utilizado respeitando cada vínculo e portaria para qual foi destinado.</w:t>
      </w:r>
    </w:p>
    <w:p w:rsidR="00AC71DF" w:rsidRDefault="00AC71DF" w:rsidP="00AC71DF">
      <w:r w:rsidRPr="00D904EE">
        <w:rPr>
          <w:b/>
        </w:rPr>
        <w:t xml:space="preserve">Restos </w:t>
      </w:r>
      <w:proofErr w:type="gramStart"/>
      <w:r w:rsidRPr="00D904EE">
        <w:rPr>
          <w:b/>
        </w:rPr>
        <w:t>a Pagar</w:t>
      </w:r>
      <w:proofErr w:type="gramEnd"/>
      <w:r>
        <w:t xml:space="preserve">: Em ambas as Unidades Gestoras as despesas empenhadas e não pagas até o </w:t>
      </w:r>
      <w:proofErr w:type="spellStart"/>
      <w:r>
        <w:t>ultimo</w:t>
      </w:r>
      <w:proofErr w:type="spellEnd"/>
      <w:r>
        <w:t xml:space="preserve"> dia útil de 2020, foram inscritas em Restos a Pagar, em atendimento aos artigos 35 e 36 da Lei nº 4320/64, e escrituradas como restos a pagar processados e não processados. Para fins de inscrição, foram observadas as recomendações da IN nº 18/15 do TCE e os preceitos do art. 42 da LC 101/2000. </w:t>
      </w:r>
    </w:p>
    <w:p w:rsidR="00AC71DF" w:rsidRDefault="00AC71DF" w:rsidP="00AC71DF">
      <w:r>
        <w:t>Acesse as demais notas explicativas no endereço:</w:t>
      </w:r>
    </w:p>
    <w:p w:rsidR="00AC71DF" w:rsidRDefault="00AC71DF" w:rsidP="00AC71DF">
      <w:r>
        <w:t>https://www.saomartinho.rs.gov.br</w:t>
      </w:r>
    </w:p>
    <w:p w:rsidR="00AC71DF" w:rsidRDefault="00AC71DF" w:rsidP="00AC71DF"/>
    <w:p w:rsidR="001007B8" w:rsidRDefault="001007B8"/>
    <w:p w:rsidR="00AC71DF" w:rsidRPr="00AC71DF" w:rsidRDefault="00AC71DF" w:rsidP="00AC71DF">
      <w:pPr>
        <w:rPr>
          <w:color w:val="2E74B5" w:themeColor="accent1" w:themeShade="BF"/>
          <w:sz w:val="32"/>
          <w:szCs w:val="32"/>
        </w:rPr>
      </w:pPr>
      <w:r w:rsidRPr="00AC71DF">
        <w:rPr>
          <w:color w:val="2E74B5" w:themeColor="accent1" w:themeShade="BF"/>
          <w:sz w:val="32"/>
          <w:szCs w:val="32"/>
        </w:rPr>
        <w:t xml:space="preserve">Anexo 13 – </w:t>
      </w:r>
      <w:r w:rsidRPr="00AC71DF">
        <w:rPr>
          <w:color w:val="2E74B5" w:themeColor="accent1" w:themeShade="BF"/>
          <w:sz w:val="32"/>
          <w:szCs w:val="32"/>
        </w:rPr>
        <w:t xml:space="preserve">Balanço </w:t>
      </w:r>
      <w:r w:rsidRPr="00AC71DF">
        <w:rPr>
          <w:color w:val="2E74B5" w:themeColor="accent1" w:themeShade="BF"/>
          <w:sz w:val="32"/>
          <w:szCs w:val="32"/>
        </w:rPr>
        <w:t xml:space="preserve">Financeiro </w:t>
      </w:r>
      <w:r w:rsidRPr="00AC71DF">
        <w:rPr>
          <w:color w:val="2E74B5" w:themeColor="accent1" w:themeShade="BF"/>
          <w:sz w:val="32"/>
          <w:szCs w:val="32"/>
        </w:rPr>
        <w:t xml:space="preserve">- </w:t>
      </w:r>
      <w:r w:rsidRPr="00AC71DF">
        <w:rPr>
          <w:color w:val="2E74B5" w:themeColor="accent1" w:themeShade="BF"/>
          <w:sz w:val="32"/>
          <w:szCs w:val="32"/>
        </w:rPr>
        <w:t>Prefeitura</w:t>
      </w:r>
    </w:p>
    <w:p w:rsidR="00AC71DF" w:rsidRDefault="00AC71DF" w:rsidP="00AC71DF">
      <w:r>
        <w:t>Os Recursos vinculados a Educação estão representados no anexo 2, os valores relativos às receitas próprias arrecadadas e às despesas empenhadas, que Considerando a Resolução nº 918/2011, do TCE e a metodologia de cálculo estabelecida pela I.N nº 19/2011, os gastos constitucionais do Município com a Manutenção e Desenvolvimento do Ensino representaram 25,21% da receita resultante de impostos e transferências em 2019.</w:t>
      </w:r>
    </w:p>
    <w:p w:rsidR="00AC71DF" w:rsidRDefault="00AC71DF" w:rsidP="00AC71DF">
      <w:r>
        <w:t xml:space="preserve">Os Recursos Vinculados à Saúde no anexo 3, oriundos de receitas de impostos, que, por determinação constitucional ou legal, devem ser aplicados em ações e serviços públicos de saúde os quais representam 20,57% no ano seguindo a metodologia de cálculo do TCE/RS. O </w:t>
      </w:r>
      <w:r>
        <w:lastRenderedPageBreak/>
        <w:t xml:space="preserve">detalhamento das fontes de recursos obedece a padronização estabelecida pela portaria SES/RS nº 882/2012. As despesas foram empenhadas e destinadas em conformidade a origem e fonte de cada recurso. </w:t>
      </w:r>
    </w:p>
    <w:p w:rsidR="00AC71DF" w:rsidRDefault="00AC71DF" w:rsidP="00AC71DF">
      <w:r>
        <w:t xml:space="preserve">Recebimentos e pagamentos </w:t>
      </w:r>
      <w:proofErr w:type="spellStart"/>
      <w:r>
        <w:t>extraorçamentários</w:t>
      </w:r>
      <w:proofErr w:type="spellEnd"/>
      <w:r>
        <w:t>: os itens desses grupos correspondem aos ingressos e dispêndios que na forma do par. único do art. 3º a art. 103 da Lei Federal nº 4320/64 não transitam pelo orçamento.</w:t>
      </w:r>
    </w:p>
    <w:p w:rsidR="00AC71DF" w:rsidRDefault="00AC71DF" w:rsidP="00AC71DF">
      <w:r>
        <w:t>Acesse as demais notas explicativas no endereço:</w:t>
      </w:r>
    </w:p>
    <w:p w:rsidR="00AC71DF" w:rsidRDefault="00AC71DF" w:rsidP="00AC71DF"/>
    <w:p w:rsidR="00AC71DF" w:rsidRDefault="00AC71DF" w:rsidP="00AC71DF">
      <w:hyperlink r:id="rId4" w:history="1">
        <w:r w:rsidRPr="003D6749">
          <w:rPr>
            <w:rStyle w:val="Hyperlink"/>
          </w:rPr>
          <w:t>https://www.saomartinho.rs.gov.br</w:t>
        </w:r>
      </w:hyperlink>
    </w:p>
    <w:p w:rsidR="00AC71DF" w:rsidRPr="00AC71DF" w:rsidRDefault="00AC71DF" w:rsidP="00AC71DF">
      <w:pPr>
        <w:rPr>
          <w:color w:val="2E74B5" w:themeColor="accent1" w:themeShade="BF"/>
          <w:sz w:val="32"/>
          <w:szCs w:val="32"/>
        </w:rPr>
      </w:pPr>
      <w:r w:rsidRPr="00AC71DF">
        <w:rPr>
          <w:color w:val="2E74B5" w:themeColor="accent1" w:themeShade="BF"/>
          <w:sz w:val="32"/>
          <w:szCs w:val="32"/>
        </w:rPr>
        <w:t xml:space="preserve">Anexo 14 – </w:t>
      </w:r>
      <w:r w:rsidRPr="00AC71DF">
        <w:rPr>
          <w:color w:val="2E74B5" w:themeColor="accent1" w:themeShade="BF"/>
          <w:sz w:val="32"/>
          <w:szCs w:val="32"/>
        </w:rPr>
        <w:t xml:space="preserve">Balanço Patrimonial - </w:t>
      </w:r>
      <w:r w:rsidRPr="00AC71DF">
        <w:rPr>
          <w:color w:val="2E74B5" w:themeColor="accent1" w:themeShade="BF"/>
          <w:sz w:val="32"/>
          <w:szCs w:val="32"/>
        </w:rPr>
        <w:t>Prefeitura</w:t>
      </w:r>
    </w:p>
    <w:p w:rsidR="00AC71DF" w:rsidRDefault="00AC71DF" w:rsidP="00AC71DF">
      <w:r w:rsidRPr="0049123C">
        <w:t xml:space="preserve">Apresentação das Demonstrações contábeis: O Balanço Patrimonial e demais demonstrações contábeis foram elaboradas em observância com os dispositivos legais que regulam o assunto, em especial a Lei nº 4320/64, a Lei complementar nº 101/2000, os Princípios de Contabilidade, as </w:t>
      </w:r>
      <w:proofErr w:type="spellStart"/>
      <w:r w:rsidRPr="0049123C">
        <w:t>NBCTs</w:t>
      </w:r>
      <w:proofErr w:type="spellEnd"/>
      <w:r w:rsidRPr="0049123C">
        <w:t>, o MCASP e demais disposições normativas vigentes.</w:t>
      </w:r>
    </w:p>
    <w:p w:rsidR="00AC71DF" w:rsidRDefault="00AC71DF" w:rsidP="00AC71DF">
      <w:r w:rsidRPr="0049123C">
        <w:t xml:space="preserve">Créditos a receber a Curto Prazo e a Longo Prazos: os valores apresentados compreendem os saldos líquidos a receber. Valores realizáveis em até 12 meses foram classificados no curto prazo, o restante, foi classificado no ativo não circulante. Especificamente em relação à dívida ativa, os valores a curto prazo foram estimados pela média anual de recebimentos efetivos dos três últimos exercícios e o longo prazo abriga o estoque de créditos inscritos. O ajuste a valor recuperável dos créditos inscritos foi efetuado considerando a média ponderada dos recebimentos nos três últimos exercícios, assim, percentual médio de recebimentos. </w:t>
      </w:r>
    </w:p>
    <w:p w:rsidR="00AC71DF" w:rsidRDefault="00AC71DF" w:rsidP="00AC71DF">
      <w:r w:rsidRPr="0049123C">
        <w:t>Os bens adquiridos foram incorporados ao Patrimonio e depreciados em consonância as tabelas e vida útil. De acordo com o MCASP os ajustes de exercícios anteriores são relacionados com registros decorrentes de efeitos de mudança de critério contábil, omissão de registro, ou retificação de erro imputável a determinado exercício anterior</w:t>
      </w:r>
      <w:r>
        <w:t>, assim este grupo de contas recebeu lançamentos</w:t>
      </w:r>
      <w:r w:rsidRPr="0049123C">
        <w:t xml:space="preserve">. </w:t>
      </w:r>
      <w:r>
        <w:t xml:space="preserve">Foram Classificadas indevidamente as contas 1.2.3.8.1.02.41 e 1.2.3.8.1.02.4.2, ambas são depreciação de </w:t>
      </w:r>
      <w:proofErr w:type="gramStart"/>
      <w:r>
        <w:t>bens  móveis</w:t>
      </w:r>
      <w:proofErr w:type="gramEnd"/>
      <w:r>
        <w:t xml:space="preserve"> e serão </w:t>
      </w:r>
      <w:proofErr w:type="spellStart"/>
      <w:r>
        <w:t>altaradas</w:t>
      </w:r>
      <w:proofErr w:type="spellEnd"/>
      <w:r>
        <w:t xml:space="preserve"> oportunamente. </w:t>
      </w:r>
    </w:p>
    <w:p w:rsidR="00AC71DF" w:rsidRDefault="00AC71DF" w:rsidP="00AC71DF">
      <w:r>
        <w:t>Acesse as demais notas explicativas no endereço:</w:t>
      </w:r>
    </w:p>
    <w:p w:rsidR="00AC71DF" w:rsidRDefault="00AC71DF" w:rsidP="00AC71DF">
      <w:hyperlink r:id="rId5" w:history="1">
        <w:r w:rsidRPr="003D6749">
          <w:rPr>
            <w:rStyle w:val="Hyperlink"/>
          </w:rPr>
          <w:t>https://www.saomartinho.rs.gov.br</w:t>
        </w:r>
      </w:hyperlink>
    </w:p>
    <w:p w:rsidR="00AC71DF" w:rsidRDefault="00AC71DF" w:rsidP="00AC71DF"/>
    <w:p w:rsidR="00AC71DF" w:rsidRPr="00AC71DF" w:rsidRDefault="00AC71DF" w:rsidP="00AC71DF">
      <w:pPr>
        <w:rPr>
          <w:color w:val="2E74B5" w:themeColor="accent1" w:themeShade="BF"/>
          <w:sz w:val="32"/>
          <w:szCs w:val="32"/>
        </w:rPr>
      </w:pPr>
      <w:r w:rsidRPr="00AC71DF">
        <w:rPr>
          <w:color w:val="2E74B5" w:themeColor="accent1" w:themeShade="BF"/>
          <w:sz w:val="32"/>
          <w:szCs w:val="32"/>
        </w:rPr>
        <w:t>Anexo 15 –</w:t>
      </w:r>
      <w:r w:rsidRPr="00AC71DF">
        <w:rPr>
          <w:color w:val="2E74B5" w:themeColor="accent1" w:themeShade="BF"/>
          <w:sz w:val="32"/>
          <w:szCs w:val="32"/>
        </w:rPr>
        <w:t xml:space="preserve"> Variações Patrimoniais - </w:t>
      </w:r>
      <w:r w:rsidRPr="00AC71DF">
        <w:rPr>
          <w:color w:val="2E74B5" w:themeColor="accent1" w:themeShade="BF"/>
          <w:sz w:val="32"/>
          <w:szCs w:val="32"/>
        </w:rPr>
        <w:t xml:space="preserve"> Prefeitura</w:t>
      </w:r>
    </w:p>
    <w:p w:rsidR="00AC71DF" w:rsidRDefault="00AC71DF" w:rsidP="00AC71DF">
      <w:pPr>
        <w:rPr>
          <w:rFonts w:eastAsia="Times New Roman" w:cs="Arial"/>
          <w:lang w:eastAsia="pt-BR"/>
        </w:rPr>
      </w:pPr>
      <w:r w:rsidRPr="00DC7E6B">
        <w:rPr>
          <w:rFonts w:eastAsia="Times New Roman" w:cs="Arial"/>
          <w:b/>
          <w:bCs/>
          <w:lang w:eastAsia="pt-BR"/>
        </w:rPr>
        <w:t>Valorização e Ganhos com Ativos e Desincorporação de Passivos</w:t>
      </w:r>
      <w:r w:rsidRPr="00DC7E6B">
        <w:rPr>
          <w:rFonts w:eastAsia="Times New Roman" w:cs="Arial"/>
          <w:lang w:eastAsia="pt-BR"/>
        </w:rPr>
        <w:t>:  em relação a esse item cabe destacar que, em razão do processo de convergência aos padrões de contabilidade estabelecido pelas NBCASP, e de acor</w:t>
      </w:r>
      <w:r>
        <w:rPr>
          <w:rFonts w:eastAsia="Times New Roman" w:cs="Arial"/>
          <w:lang w:eastAsia="pt-BR"/>
        </w:rPr>
        <w:t>do com o MCASP, foram efetuados</w:t>
      </w:r>
      <w:r w:rsidRPr="00DC7E6B">
        <w:rPr>
          <w:rFonts w:eastAsia="Times New Roman" w:cs="Arial"/>
          <w:lang w:eastAsia="pt-BR"/>
        </w:rPr>
        <w:t xml:space="preserve"> ajustes </w:t>
      </w:r>
      <w:r>
        <w:rPr>
          <w:rFonts w:eastAsia="Times New Roman" w:cs="Arial"/>
          <w:lang w:eastAsia="pt-BR"/>
        </w:rPr>
        <w:t>e obtidos ganhos com alienação de bens inservíveis ao poder público,</w:t>
      </w:r>
      <w:r w:rsidRPr="00353002">
        <w:t xml:space="preserve"> </w:t>
      </w:r>
      <w:r w:rsidRPr="00353002">
        <w:rPr>
          <w:rFonts w:eastAsia="Times New Roman" w:cs="Arial"/>
          <w:lang w:eastAsia="pt-BR"/>
        </w:rPr>
        <w:t xml:space="preserve">cujos valores, foram utilizados em aquisições do mesmo </w:t>
      </w:r>
      <w:bookmarkStart w:id="0" w:name="_GoBack"/>
      <w:bookmarkEnd w:id="0"/>
      <w:r w:rsidRPr="00353002">
        <w:rPr>
          <w:rFonts w:eastAsia="Times New Roman" w:cs="Arial"/>
          <w:lang w:eastAsia="pt-BR"/>
        </w:rPr>
        <w:t>vínculo e/ou compõem o saldo das disponibilidades no encerramento.</w:t>
      </w:r>
      <w:r w:rsidRPr="00DC7E6B">
        <w:rPr>
          <w:rFonts w:eastAsia="Times New Roman" w:cs="Arial"/>
          <w:lang w:eastAsia="pt-BR"/>
        </w:rPr>
        <w:t xml:space="preserve"> </w:t>
      </w:r>
    </w:p>
    <w:p w:rsidR="00AC71DF" w:rsidRDefault="00AC71DF" w:rsidP="00AC71DF">
      <w:pPr>
        <w:rPr>
          <w:rFonts w:eastAsia="Times New Roman" w:cs="Arial"/>
          <w:lang w:eastAsia="pt-BR"/>
        </w:rPr>
      </w:pPr>
      <w:r w:rsidRPr="00DC7E6B">
        <w:rPr>
          <w:rFonts w:eastAsia="Times New Roman" w:cs="Arial"/>
          <w:b/>
          <w:bCs/>
          <w:lang w:eastAsia="pt-BR"/>
        </w:rPr>
        <w:lastRenderedPageBreak/>
        <w:t>Outras Variações Patrimoniais Aumentativas</w:t>
      </w:r>
      <w:r w:rsidRPr="00DC7E6B">
        <w:rPr>
          <w:rFonts w:eastAsia="Times New Roman" w:cs="Arial"/>
          <w:lang w:eastAsia="pt-BR"/>
        </w:rPr>
        <w:t xml:space="preserve">: compreende o somatório das demais variações patrimoniais aumentativas não incluídas </w:t>
      </w:r>
      <w:r>
        <w:rPr>
          <w:rFonts w:eastAsia="Times New Roman" w:cs="Arial"/>
          <w:lang w:eastAsia="pt-BR"/>
        </w:rPr>
        <w:t xml:space="preserve">(classificadas) </w:t>
      </w:r>
      <w:r w:rsidRPr="00DC7E6B">
        <w:rPr>
          <w:rFonts w:eastAsia="Times New Roman" w:cs="Arial"/>
          <w:lang w:eastAsia="pt-BR"/>
        </w:rPr>
        <w:t>nos grupos anteriores</w:t>
      </w:r>
      <w:r>
        <w:rPr>
          <w:rFonts w:eastAsia="Times New Roman" w:cs="Arial"/>
          <w:lang w:eastAsia="pt-BR"/>
        </w:rPr>
        <w:t>.</w:t>
      </w:r>
      <w:r w:rsidRPr="00DC7E6B">
        <w:rPr>
          <w:rFonts w:eastAsia="Times New Roman" w:cs="Arial"/>
          <w:lang w:eastAsia="pt-BR"/>
        </w:rPr>
        <w:t xml:space="preserve"> </w:t>
      </w:r>
    </w:p>
    <w:p w:rsidR="00AC71DF" w:rsidRDefault="00AC71DF" w:rsidP="00AC71DF">
      <w:pPr>
        <w:spacing w:after="0" w:line="240" w:lineRule="auto"/>
        <w:jc w:val="both"/>
        <w:rPr>
          <w:rFonts w:eastAsia="Times New Roman" w:cs="Arial"/>
          <w:lang w:eastAsia="pt-BR"/>
        </w:rPr>
      </w:pPr>
      <w:r w:rsidRPr="004012B1">
        <w:rPr>
          <w:rFonts w:ascii="Calibri" w:eastAsia="Times New Roman" w:hAnsi="Calibri" w:cs="Arial"/>
          <w:b/>
          <w:bCs/>
          <w:lang w:eastAsia="pt-BR"/>
        </w:rPr>
        <w:t xml:space="preserve">Desvalorização e Perdas de Ativos e Incorporação de Passivos:  </w:t>
      </w:r>
      <w:r>
        <w:rPr>
          <w:rFonts w:ascii="Calibri" w:eastAsia="Times New Roman" w:hAnsi="Calibri" w:cs="Arial"/>
          <w:b/>
          <w:bCs/>
          <w:lang w:eastAsia="pt-BR"/>
        </w:rPr>
        <w:t>contempla</w:t>
      </w:r>
      <w:r w:rsidRPr="004012B1">
        <w:rPr>
          <w:rFonts w:ascii="Calibri" w:eastAsia="Times New Roman" w:hAnsi="Calibri" w:cs="Arial"/>
          <w:lang w:eastAsia="pt-BR"/>
        </w:rPr>
        <w:t xml:space="preserve"> os registros da reavaliação do ativo imobilizado, da depreciação, amortização</w:t>
      </w:r>
      <w:r>
        <w:rPr>
          <w:rFonts w:ascii="Calibri" w:eastAsia="Times New Roman" w:hAnsi="Calibri" w:cs="Arial"/>
          <w:lang w:eastAsia="pt-BR"/>
        </w:rPr>
        <w:t>.</w:t>
      </w:r>
      <w:r w:rsidRPr="004012B1">
        <w:rPr>
          <w:rFonts w:ascii="Calibri" w:eastAsia="Times New Roman" w:hAnsi="Calibri" w:cs="Arial"/>
          <w:lang w:eastAsia="pt-BR"/>
        </w:rPr>
        <w:t xml:space="preserve"> </w:t>
      </w:r>
      <w:r>
        <w:rPr>
          <w:rFonts w:ascii="Calibri" w:eastAsia="Times New Roman" w:hAnsi="Calibri" w:cs="Arial"/>
          <w:lang w:eastAsia="pt-BR"/>
        </w:rPr>
        <w:t>Os bens foram depreciados em conformidade a legislação aplicando os índices e tabela de depreciação.</w:t>
      </w:r>
      <w:r w:rsidRPr="004012B1">
        <w:rPr>
          <w:rFonts w:ascii="Calibri" w:eastAsia="Times New Roman" w:hAnsi="Calibri" w:cs="Arial"/>
          <w:lang w:eastAsia="pt-BR"/>
        </w:rPr>
        <w:t xml:space="preserve">  </w:t>
      </w:r>
    </w:p>
    <w:p w:rsidR="00AC71DF" w:rsidRDefault="00AC71DF" w:rsidP="00AC71DF">
      <w:pPr>
        <w:rPr>
          <w:rFonts w:eastAsia="Times New Roman" w:cs="Arial"/>
          <w:lang w:eastAsia="pt-BR"/>
        </w:rPr>
      </w:pPr>
    </w:p>
    <w:p w:rsidR="00AC71DF" w:rsidRPr="004012B1" w:rsidRDefault="00AC71DF" w:rsidP="00AC71DF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  <w:r w:rsidRPr="004012B1">
        <w:rPr>
          <w:rFonts w:ascii="Calibri" w:eastAsia="Times New Roman" w:hAnsi="Calibri" w:cs="Arial"/>
          <w:b/>
          <w:bCs/>
          <w:lang w:eastAsia="pt-BR"/>
        </w:rPr>
        <w:t xml:space="preserve">Outras Variações Patrimoniais Diminutivas: </w:t>
      </w:r>
      <w:r w:rsidRPr="004012B1">
        <w:rPr>
          <w:rFonts w:ascii="Calibri" w:eastAsia="Times New Roman" w:hAnsi="Calibri" w:cs="Arial"/>
          <w:lang w:eastAsia="pt-BR"/>
        </w:rPr>
        <w:t>compreende o somatório das demais variações patrimoniais diminutivas não incluídas</w:t>
      </w:r>
      <w:r>
        <w:rPr>
          <w:rFonts w:ascii="Calibri" w:eastAsia="Times New Roman" w:hAnsi="Calibri" w:cs="Arial"/>
          <w:lang w:eastAsia="pt-BR"/>
        </w:rPr>
        <w:t xml:space="preserve"> (classificadas)</w:t>
      </w:r>
      <w:r w:rsidRPr="004012B1">
        <w:rPr>
          <w:rFonts w:ascii="Calibri" w:eastAsia="Times New Roman" w:hAnsi="Calibri" w:cs="Arial"/>
          <w:lang w:eastAsia="pt-BR"/>
        </w:rPr>
        <w:t xml:space="preserve"> nos grupos anteriores, tais como: resultado negativo da equivalência patrimonial, dividendos</w:t>
      </w:r>
      <w:r>
        <w:rPr>
          <w:rFonts w:ascii="Calibri" w:eastAsia="Times New Roman" w:hAnsi="Calibri" w:cs="Arial"/>
          <w:lang w:eastAsia="pt-BR"/>
        </w:rPr>
        <w:t>, premiações, subvenções</w:t>
      </w:r>
      <w:r w:rsidRPr="004012B1">
        <w:rPr>
          <w:rFonts w:ascii="Calibri" w:eastAsia="Times New Roman" w:hAnsi="Calibri" w:cs="Arial"/>
          <w:lang w:eastAsia="pt-BR"/>
        </w:rPr>
        <w:t xml:space="preserve">. </w:t>
      </w:r>
    </w:p>
    <w:p w:rsidR="00AC71DF" w:rsidRDefault="00AC71DF" w:rsidP="00AC71DF">
      <w:pPr>
        <w:rPr>
          <w:rFonts w:eastAsia="Times New Roman" w:cs="Arial"/>
          <w:lang w:eastAsia="pt-BR"/>
        </w:rPr>
      </w:pPr>
    </w:p>
    <w:p w:rsidR="00AC71DF" w:rsidRDefault="00AC71DF" w:rsidP="00AC71DF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  <w:r w:rsidRPr="004012B1">
        <w:rPr>
          <w:rFonts w:ascii="Calibri" w:eastAsia="Times New Roman" w:hAnsi="Calibri" w:cs="Arial"/>
          <w:b/>
          <w:bCs/>
          <w:lang w:eastAsia="pt-BR"/>
        </w:rPr>
        <w:t xml:space="preserve">Resultado Patrimonial do Período: </w:t>
      </w:r>
      <w:r w:rsidRPr="004012B1">
        <w:rPr>
          <w:rFonts w:ascii="Calibri" w:eastAsia="Times New Roman" w:hAnsi="Calibri" w:cs="Arial"/>
          <w:lang w:eastAsia="pt-BR"/>
        </w:rPr>
        <w:t xml:space="preserve">como resultado do confronto entre as Variações Patrimoniais Aumentativas e Diminutivas, </w:t>
      </w:r>
      <w:r>
        <w:rPr>
          <w:rFonts w:ascii="Calibri" w:eastAsia="Times New Roman" w:hAnsi="Calibri" w:cs="Arial"/>
          <w:lang w:eastAsia="pt-BR"/>
        </w:rPr>
        <w:t>em relação ao exercício anterior, neste exercício o resultado patrimonial foi menor.</w:t>
      </w:r>
    </w:p>
    <w:p w:rsidR="00AC71DF" w:rsidRDefault="00AC71DF" w:rsidP="00AC71DF">
      <w:r>
        <w:t>Acesse as demais notas explicativas no endereço:</w:t>
      </w:r>
    </w:p>
    <w:p w:rsidR="00AC71DF" w:rsidRDefault="00AC71DF" w:rsidP="00AC71DF">
      <w:r>
        <w:t>https://www.saomartinho.rs.gov.br</w:t>
      </w:r>
    </w:p>
    <w:p w:rsidR="00AC71DF" w:rsidRDefault="00AC71DF" w:rsidP="00AC71DF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</w:p>
    <w:p w:rsidR="00AC71DF" w:rsidRDefault="00AC71DF" w:rsidP="00AC71DF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</w:p>
    <w:p w:rsidR="00AC71DF" w:rsidRDefault="00AC71DF" w:rsidP="00AC71DF"/>
    <w:p w:rsidR="00AC71DF" w:rsidRDefault="00AC71DF" w:rsidP="00AC71DF"/>
    <w:p w:rsidR="00AC71DF" w:rsidRDefault="00AC71DF" w:rsidP="00AC71DF"/>
    <w:p w:rsidR="00AC71DF" w:rsidRDefault="00AC71DF"/>
    <w:sectPr w:rsidR="00AC7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DF"/>
    <w:rsid w:val="001007B8"/>
    <w:rsid w:val="00A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0A51"/>
  <w15:chartTrackingRefBased/>
  <w15:docId w15:val="{2344B7F2-11E2-4011-82D3-38864E64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1D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71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aomartinho.rs.gov.br" TargetMode="External"/><Relationship Id="rId4" Type="http://schemas.openxmlformats.org/officeDocument/2006/relationships/hyperlink" Target="https://www.saomartinho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Prefeitura</cp:lastModifiedBy>
  <cp:revision>1</cp:revision>
  <dcterms:created xsi:type="dcterms:W3CDTF">2021-03-23T11:08:00Z</dcterms:created>
  <dcterms:modified xsi:type="dcterms:W3CDTF">2021-03-23T11:11:00Z</dcterms:modified>
</cp:coreProperties>
</file>